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0" w:rsidRDefault="006D1B70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6D1B70" w:rsidRDefault="006D1B70">
      <w:pPr>
        <w:pStyle w:val="ConsPlusTitle"/>
        <w:jc w:val="center"/>
      </w:pPr>
    </w:p>
    <w:p w:rsidR="006D1B70" w:rsidRDefault="006D1B70">
      <w:pPr>
        <w:pStyle w:val="ConsPlusTitle"/>
        <w:jc w:val="center"/>
      </w:pPr>
      <w:r>
        <w:t>ПРИКАЗ</w:t>
      </w:r>
    </w:p>
    <w:p w:rsidR="006D1B70" w:rsidRDefault="006D1B70">
      <w:pPr>
        <w:pStyle w:val="ConsPlusTitle"/>
        <w:jc w:val="center"/>
      </w:pPr>
      <w:r>
        <w:t>от 28 мая 2015 г. N 1985</w:t>
      </w:r>
    </w:p>
    <w:p w:rsidR="006D1B70" w:rsidRDefault="006D1B70">
      <w:pPr>
        <w:pStyle w:val="ConsPlusTitle"/>
        <w:jc w:val="center"/>
      </w:pPr>
    </w:p>
    <w:p w:rsidR="006D1B70" w:rsidRDefault="006D1B70">
      <w:pPr>
        <w:pStyle w:val="ConsPlusTitle"/>
        <w:jc w:val="center"/>
      </w:pPr>
      <w:r>
        <w:t>ОБ ОРГАНИЗАЦИИ НАПРАВЛЕНИЯ ДЕТЕЙ, ПЕРЕБОЛЕВШИХ ТУБЕРКУЛЕЗОМ</w:t>
      </w:r>
    </w:p>
    <w:p w:rsidR="006D1B70" w:rsidRDefault="006D1B70">
      <w:pPr>
        <w:pStyle w:val="ConsPlusTitle"/>
        <w:jc w:val="center"/>
      </w:pPr>
      <w:r>
        <w:t>И ГРУППЫ ПОВЫШЕННОГО РИСКА ЗАБОЛЕВАНИЯ ТУБЕРКУЛЕЗОМ,</w:t>
      </w:r>
    </w:p>
    <w:p w:rsidR="006D1B70" w:rsidRDefault="006D1B70">
      <w:pPr>
        <w:pStyle w:val="ConsPlusTitle"/>
        <w:jc w:val="center"/>
      </w:pPr>
      <w:r>
        <w:t>НА САНАТОРНОЕ ЛЕЧЕНИЕ</w:t>
      </w:r>
    </w:p>
    <w:p w:rsidR="006D1B70" w:rsidRDefault="006D1B70">
      <w:pPr>
        <w:pStyle w:val="ConsPlusNormal"/>
        <w:jc w:val="center"/>
      </w:pPr>
    </w:p>
    <w:p w:rsidR="006D1B70" w:rsidRDefault="006D1B70">
      <w:pPr>
        <w:pStyle w:val="ConsPlusNormal"/>
        <w:jc w:val="center"/>
      </w:pPr>
      <w:r>
        <w:t>Список изменяющих документов</w:t>
      </w:r>
    </w:p>
    <w:p w:rsidR="006D1B70" w:rsidRDefault="006D1B7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07.12.2016 N 3302)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  <w:r>
        <w:t>С целью повышения эффективности медицинской помощи детям, состоящим на учете у фтизиатра по поводу туберкулеза, а также профилактики заболевания туберкулезом у детей приказываю:</w:t>
      </w:r>
    </w:p>
    <w:p w:rsidR="006D1B70" w:rsidRDefault="006D1B70">
      <w:pPr>
        <w:pStyle w:val="ConsPlusNormal"/>
        <w:ind w:firstLine="540"/>
        <w:jc w:val="both"/>
      </w:pPr>
      <w:r>
        <w:t>1. Утвердить:</w:t>
      </w:r>
    </w:p>
    <w:p w:rsidR="006D1B70" w:rsidRDefault="006D1B70">
      <w:pPr>
        <w:pStyle w:val="ConsPlusNormal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направления детей, переболевших туберкулезом и группы повышенного риска заболевания туберкулезом, на санаторное лечение (приложение 1);</w:t>
      </w:r>
    </w:p>
    <w:p w:rsidR="006D1B70" w:rsidRDefault="006D1B70">
      <w:pPr>
        <w:pStyle w:val="ConsPlusNormal"/>
        <w:ind w:firstLine="540"/>
        <w:jc w:val="both"/>
      </w:pPr>
      <w:r>
        <w:t xml:space="preserve">1.2. </w:t>
      </w:r>
      <w:hyperlink w:anchor="P62" w:history="1">
        <w:r>
          <w:rPr>
            <w:color w:val="0000FF"/>
          </w:rPr>
          <w:t>Показания</w:t>
        </w:r>
      </w:hyperlink>
      <w:r>
        <w:t xml:space="preserve"> для направления детей, переболевших туберкулезом и группы повышенного риска заболевания туберкулезом, на санаторное лечение (приложение 2).</w:t>
      </w:r>
    </w:p>
    <w:p w:rsidR="006D1B70" w:rsidRDefault="006D1B70">
      <w:pPr>
        <w:pStyle w:val="ConsPlusNormal"/>
        <w:ind w:firstLine="540"/>
        <w:jc w:val="both"/>
      </w:pPr>
      <w:r>
        <w:t xml:space="preserve">2. Главному врачу ГБУЗ НО "Нижегородский областной клинический противотуберкулезный диспансер" И.Г. </w:t>
      </w:r>
      <w:proofErr w:type="spellStart"/>
      <w:r>
        <w:t>Шерстневу</w:t>
      </w:r>
      <w:proofErr w:type="spellEnd"/>
      <w:r>
        <w:t xml:space="preserve"> организовать работу врачебной комиссии по направлению детей, перенесших туберкулез и группы повышенного риска заболевания туберкулезом, на санаторное лечение.</w:t>
      </w:r>
    </w:p>
    <w:p w:rsidR="006D1B70" w:rsidRDefault="006D1B70">
      <w:pPr>
        <w:pStyle w:val="ConsPlusNormal"/>
        <w:ind w:firstLine="540"/>
        <w:jc w:val="both"/>
      </w:pPr>
      <w:r>
        <w:t xml:space="preserve">3. Главным врачам ГБУЗ НО, </w:t>
      </w:r>
      <w:proofErr w:type="gramStart"/>
      <w:r>
        <w:t>оказывающих</w:t>
      </w:r>
      <w:proofErr w:type="gramEnd"/>
      <w:r>
        <w:t xml:space="preserve"> медицинскую помощь детям, руководствоваться:</w:t>
      </w:r>
    </w:p>
    <w:p w:rsidR="006D1B70" w:rsidRDefault="006D1B70">
      <w:pPr>
        <w:pStyle w:val="ConsPlusNormal"/>
        <w:ind w:firstLine="540"/>
        <w:jc w:val="both"/>
      </w:pPr>
      <w:r>
        <w:t xml:space="preserve">3.1. </w:t>
      </w:r>
      <w:hyperlink w:anchor="P37" w:history="1">
        <w:r>
          <w:rPr>
            <w:color w:val="0000FF"/>
          </w:rPr>
          <w:t>порядком</w:t>
        </w:r>
      </w:hyperlink>
      <w:r>
        <w:t xml:space="preserve"> организации направления детей, перенесших туберкулез и группы повышенного риска заболевания туберкулезом, утвержденным п. 1.1 настоящего приказа;</w:t>
      </w:r>
    </w:p>
    <w:p w:rsidR="006D1B70" w:rsidRDefault="006D1B70">
      <w:pPr>
        <w:pStyle w:val="ConsPlusNormal"/>
        <w:ind w:firstLine="540"/>
        <w:jc w:val="both"/>
      </w:pPr>
      <w:r>
        <w:t xml:space="preserve">3.2. </w:t>
      </w:r>
      <w:hyperlink w:anchor="P62" w:history="1">
        <w:r>
          <w:rPr>
            <w:color w:val="0000FF"/>
          </w:rPr>
          <w:t>показаниями</w:t>
        </w:r>
      </w:hyperlink>
      <w:r>
        <w:t xml:space="preserve"> для направления детей на санаторное лечение (приложение 2);</w:t>
      </w:r>
    </w:p>
    <w:p w:rsidR="006D1B70" w:rsidRDefault="006D1B70">
      <w:pPr>
        <w:pStyle w:val="ConsPlusNormal"/>
        <w:ind w:firstLine="540"/>
        <w:jc w:val="both"/>
      </w:pPr>
      <w:r>
        <w:t xml:space="preserve">3.3. противопоказаниями к направлению детей на санаторное лечение, регламентированными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09.06.2015 N 329н "О внесении изменений в 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года N 363н".</w:t>
      </w:r>
    </w:p>
    <w:p w:rsidR="006D1B70" w:rsidRDefault="006D1B70">
      <w:pPr>
        <w:pStyle w:val="ConsPlusNormal"/>
        <w:ind w:firstLine="540"/>
        <w:jc w:val="both"/>
      </w:pPr>
      <w:r>
        <w:t>4. Приказ вступает в силу с 01.09.2015.</w:t>
      </w:r>
    </w:p>
    <w:p w:rsidR="006D1B70" w:rsidRDefault="006D1B70">
      <w:pPr>
        <w:pStyle w:val="ConsPlusNormal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01.04.2015 N 1283 "Об организации </w:t>
      </w:r>
      <w:proofErr w:type="gramStart"/>
      <w:r>
        <w:t>направления детей группы повышенного риска заболевания</w:t>
      </w:r>
      <w:proofErr w:type="gramEnd"/>
      <w:r>
        <w:t xml:space="preserve"> туберкулезом на долечивание и санаторное лечение" считать утратившим силу.</w:t>
      </w:r>
    </w:p>
    <w:p w:rsidR="006D1B70" w:rsidRDefault="006D1B7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детства и родовспоможения министерства здравоохранения Нижегородской области Т.А. </w:t>
      </w:r>
      <w:proofErr w:type="spellStart"/>
      <w:r>
        <w:t>Боровкову</w:t>
      </w:r>
      <w:proofErr w:type="spellEnd"/>
      <w:r>
        <w:t>.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jc w:val="right"/>
      </w:pPr>
      <w:r>
        <w:t>Министр</w:t>
      </w:r>
    </w:p>
    <w:p w:rsidR="006D1B70" w:rsidRDefault="006D1B70">
      <w:pPr>
        <w:pStyle w:val="ConsPlusNormal"/>
        <w:jc w:val="right"/>
      </w:pPr>
      <w:r>
        <w:t>Г.Н.КУЗНЕЦОВ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jc w:val="right"/>
        <w:outlineLvl w:val="0"/>
      </w:pPr>
      <w:r>
        <w:t>Приложение 1</w:t>
      </w:r>
    </w:p>
    <w:p w:rsidR="006D1B70" w:rsidRDefault="006D1B70">
      <w:pPr>
        <w:pStyle w:val="ConsPlusNormal"/>
        <w:jc w:val="right"/>
      </w:pPr>
      <w:r>
        <w:t>к приказу МЗ НО</w:t>
      </w:r>
    </w:p>
    <w:p w:rsidR="006D1B70" w:rsidRDefault="006D1B70">
      <w:pPr>
        <w:pStyle w:val="ConsPlusNormal"/>
        <w:jc w:val="right"/>
      </w:pPr>
      <w:r>
        <w:t>от 28.05.2015 N 1985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Title"/>
        <w:jc w:val="center"/>
      </w:pPr>
      <w:bookmarkStart w:id="1" w:name="P37"/>
      <w:bookmarkEnd w:id="1"/>
      <w:r>
        <w:t>ПОРЯДОК</w:t>
      </w:r>
    </w:p>
    <w:p w:rsidR="006D1B70" w:rsidRDefault="006D1B70">
      <w:pPr>
        <w:pStyle w:val="ConsPlusTitle"/>
        <w:jc w:val="center"/>
      </w:pPr>
      <w:r>
        <w:t>ОРГАНИЗАЦИИ НАПРАВЛЕНИЯ ДЕТЕЙ, ПЕРЕБОЛЕВШИХ ТУБЕРКУЛЕЗОМ</w:t>
      </w:r>
    </w:p>
    <w:p w:rsidR="006D1B70" w:rsidRDefault="006D1B70">
      <w:pPr>
        <w:pStyle w:val="ConsPlusTitle"/>
        <w:jc w:val="center"/>
      </w:pPr>
      <w:r>
        <w:lastRenderedPageBreak/>
        <w:t>И ГРУППЫ ПОВЫШЕННОГО РИСКА ЗАБОЛЕВАНИЯ ТУБЕРКУЛЕЗОМ,</w:t>
      </w:r>
    </w:p>
    <w:p w:rsidR="006D1B70" w:rsidRDefault="006D1B70">
      <w:pPr>
        <w:pStyle w:val="ConsPlusTitle"/>
        <w:jc w:val="center"/>
      </w:pPr>
      <w:r>
        <w:t>НА САНАТОРНОЕ ЛЕЧЕНИЕ</w:t>
      </w:r>
    </w:p>
    <w:p w:rsidR="006D1B70" w:rsidRDefault="006D1B70">
      <w:pPr>
        <w:pStyle w:val="ConsPlusNormal"/>
        <w:jc w:val="center"/>
      </w:pPr>
    </w:p>
    <w:p w:rsidR="006D1B70" w:rsidRDefault="006D1B70">
      <w:pPr>
        <w:pStyle w:val="ConsPlusNormal"/>
        <w:jc w:val="center"/>
      </w:pPr>
      <w:r>
        <w:t>Список изменяющих документов</w:t>
      </w:r>
    </w:p>
    <w:p w:rsidR="006D1B70" w:rsidRDefault="006D1B7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07.12.2016 N 3302)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  <w:r>
        <w:t xml:space="preserve">1. Принятие решения о необходимости направления детей, перенесших туберкулез и группы повышенного риска заболевания туберкулезом, осуществляется врачебной комиссией ГБУЗ НО "НОКПД", утвержденной приказом учреждения от 22.06.2012 N 77 о/д "Об обеспечении централизованного </w:t>
      </w:r>
      <w:proofErr w:type="gramStart"/>
      <w:r>
        <w:t>контроля за</w:t>
      </w:r>
      <w:proofErr w:type="gramEnd"/>
      <w:r>
        <w:t xml:space="preserve"> диагностикой, лечением и диспансерным наблюдением больных туберкулезом с учетом территориальных особенностей Нижегородской области" (далее - Комиссия).</w:t>
      </w:r>
    </w:p>
    <w:p w:rsidR="006D1B70" w:rsidRDefault="006D1B70">
      <w:pPr>
        <w:pStyle w:val="ConsPlusNormal"/>
        <w:ind w:firstLine="540"/>
        <w:jc w:val="both"/>
      </w:pPr>
      <w:r>
        <w:t xml:space="preserve">2. Для направления ребенка на Комиссию медицинским работником (врачом участковым педиатром, врачом-педиатром образовательного учреждения, районным врачом-фтизиатром) заполняется выписка </w:t>
      </w:r>
      <w:hyperlink r:id="rId9" w:history="1">
        <w:r>
          <w:rPr>
            <w:color w:val="0000FF"/>
          </w:rPr>
          <w:t>(форма 027/у)</w:t>
        </w:r>
      </w:hyperlink>
      <w:r>
        <w:t xml:space="preserve"> с указанием анамнеза заболевания, сведений о проведенном обследовании и лечении, вакцинального анамнеза. При наличии сопутствующих заболеваний необходимо заключение соответствующих профильных специалистов с указанием подробных рекомендаций по режиму, занятию спортом (определением физкультурной группы) и базисной терапии заболевания.</w:t>
      </w:r>
    </w:p>
    <w:p w:rsidR="006D1B70" w:rsidRDefault="006D1B70">
      <w:pPr>
        <w:pStyle w:val="ConsPlusNormal"/>
        <w:ind w:firstLine="540"/>
        <w:jc w:val="both"/>
      </w:pPr>
      <w:r>
        <w:t>3. Заседания Комиссии проводятся два раза в неделю (понедельник с 13-00 до 15-00, четверг с 9-00 до 11-00) с участием представителей санаторных образовательных организаций (руководителя и медицинских работников) по согласованию. Решение врачебной комиссии оформляется протоколом. Выписка из протокола заседания Комиссии передается родителям ребенка или иным законным представителям его интересов.</w:t>
      </w:r>
    </w:p>
    <w:p w:rsidR="006D1B70" w:rsidRDefault="006D1B70">
      <w:pPr>
        <w:pStyle w:val="ConsPlusNormal"/>
        <w:ind w:firstLine="540"/>
        <w:jc w:val="both"/>
      </w:pPr>
      <w:r>
        <w:t>4. В решении Комиссии отражается: клинический диагноз, рекомендуемое санаторное учреждение, предполагаемые сроки лечения, особенности режима пребывания, физической нагрузки (физкультурная группа), необходимость проведения базисной терапии при сопутствующих заболеваниях.</w:t>
      </w:r>
    </w:p>
    <w:p w:rsidR="006D1B70" w:rsidRDefault="006D1B70">
      <w:pPr>
        <w:pStyle w:val="ConsPlusNormal"/>
        <w:ind w:firstLine="540"/>
        <w:jc w:val="both"/>
      </w:pPr>
      <w:bookmarkStart w:id="2" w:name="P49"/>
      <w:bookmarkEnd w:id="2"/>
      <w:r>
        <w:t xml:space="preserve">5. Направление детей в возрасте до 10 лет на санаторное лечение осуществляется в соответствии с </w:t>
      </w:r>
      <w:hyperlink w:anchor="P62" w:history="1">
        <w:r>
          <w:rPr>
            <w:color w:val="0000FF"/>
          </w:rPr>
          <w:t>приложением 2</w:t>
        </w:r>
      </w:hyperlink>
      <w:r>
        <w:t xml:space="preserve"> к настоящему приказу.</w:t>
      </w:r>
    </w:p>
    <w:p w:rsidR="006D1B70" w:rsidRDefault="006D1B70">
      <w:pPr>
        <w:pStyle w:val="ConsPlusNormal"/>
        <w:ind w:firstLine="540"/>
        <w:jc w:val="both"/>
      </w:pPr>
      <w:bookmarkStart w:id="3" w:name="P50"/>
      <w:bookmarkEnd w:id="3"/>
      <w:r>
        <w:t xml:space="preserve">6. </w:t>
      </w:r>
      <w:proofErr w:type="gramStart"/>
      <w:r>
        <w:t>Для детей старше 10 лет, нуждающихся по решению Комиссии в санаторном лечении и обучении по образовательным программам начального общего, основного общего образования, выписка из протокола предоставляется родителями (законными представителями) в министерство образования Нижегородской области для принятия решения о выдаче путевки в государственные образовательные организации санаторного типа для детей, нуждающихся в длительном лечении, реализующие основные общеобразовательные программы начального, основного общего образования</w:t>
      </w:r>
      <w:proofErr w:type="gramEnd"/>
      <w:r>
        <w:t xml:space="preserve"> (</w:t>
      </w:r>
      <w:proofErr w:type="gramStart"/>
      <w:r>
        <w:t>4 - 9 класс).</w:t>
      </w:r>
      <w:proofErr w:type="gramEnd"/>
    </w:p>
    <w:p w:rsidR="006D1B70" w:rsidRDefault="006D1B70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минздрава</w:t>
      </w:r>
      <w:proofErr w:type="spellEnd"/>
      <w:r>
        <w:t xml:space="preserve"> Нижегородской области от 07.12.2016 N 3302)</w:t>
      </w:r>
    </w:p>
    <w:p w:rsidR="006D1B70" w:rsidRDefault="006D1B70">
      <w:pPr>
        <w:pStyle w:val="ConsPlusNormal"/>
        <w:ind w:firstLine="540"/>
        <w:jc w:val="both"/>
      </w:pPr>
      <w:r>
        <w:t>7. Дети I и II групп диспансерного учета старше 10 лет находятся на стационарном лечении до окончания основного курса лечения с последующим направлением согласно настоящему приказу.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jc w:val="right"/>
        <w:outlineLvl w:val="0"/>
      </w:pPr>
      <w:r>
        <w:t>Приложение 2</w:t>
      </w:r>
    </w:p>
    <w:p w:rsidR="006D1B70" w:rsidRDefault="006D1B70">
      <w:pPr>
        <w:pStyle w:val="ConsPlusNormal"/>
        <w:jc w:val="right"/>
      </w:pPr>
      <w:r>
        <w:t>к приказу МЗ НО</w:t>
      </w:r>
    </w:p>
    <w:p w:rsidR="006D1B70" w:rsidRDefault="006D1B70">
      <w:pPr>
        <w:pStyle w:val="ConsPlusNormal"/>
        <w:jc w:val="right"/>
      </w:pPr>
      <w:r>
        <w:t>от 28.05.2015 N 1985</w:t>
      </w:r>
    </w:p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jc w:val="center"/>
      </w:pPr>
      <w:bookmarkStart w:id="4" w:name="P62"/>
      <w:bookmarkEnd w:id="4"/>
      <w:r>
        <w:t>ПОКАЗАНИЯ</w:t>
      </w:r>
    </w:p>
    <w:p w:rsidR="006D1B70" w:rsidRDefault="006D1B70">
      <w:pPr>
        <w:pStyle w:val="ConsPlusNormal"/>
        <w:jc w:val="center"/>
      </w:pPr>
      <w:r>
        <w:t>ДЛЯ НАПРАВЛЕНИЯ ДЕТЕЙ, БОЛЬНЫХ ТУБЕРКУЛЕЗОМ И ИЗ ГРУППЫ</w:t>
      </w:r>
    </w:p>
    <w:p w:rsidR="006D1B70" w:rsidRDefault="006D1B70">
      <w:pPr>
        <w:pStyle w:val="ConsPlusNormal"/>
        <w:jc w:val="center"/>
      </w:pPr>
      <w:r>
        <w:t>ПОВЫШЕННОГО РИСКА ЗАБОЛЕВАНИЯ ТУБЕРКУЛЕЗОМ, НА ДОЛЕЧИВАНИЕ</w:t>
      </w:r>
    </w:p>
    <w:p w:rsidR="006D1B70" w:rsidRDefault="006D1B70">
      <w:pPr>
        <w:pStyle w:val="ConsPlusNormal"/>
        <w:jc w:val="center"/>
      </w:pPr>
      <w:r>
        <w:t>И САНАТОРНОЕ ЛЕЧЕНИЕ</w:t>
      </w:r>
    </w:p>
    <w:p w:rsidR="006D1B70" w:rsidRDefault="006D1B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05"/>
        <w:gridCol w:w="1587"/>
        <w:gridCol w:w="1644"/>
      </w:tblGrid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>Клинические формы и фазы туберкулеза, группы учета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Задачи санаторного лечения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Сроки санаторного лечения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Учреждение санаторного типа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 xml:space="preserve">1. Все формы туберкулеза органов дыхания, в том числе при наличии осложнений, без </w:t>
            </w:r>
            <w:proofErr w:type="spellStart"/>
            <w:r>
              <w:t>бактериовыделения</w:t>
            </w:r>
            <w:proofErr w:type="spellEnd"/>
            <w:r>
              <w:t xml:space="preserve"> в фазе рассасывания и уплотнения (I группа диспансерного учета)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Продолжение основного курса лечения (в фазе продолжения), лечение сопутствующих заболеваний, профилактика обострений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6 - 10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Санаторий "Ройка", дети до 10 лет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>2. Все формы внелегочного туберкулеза после стационарного этапа лечения (I группа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Продолжение основного курса лечения (в фазе продолжения), лечение сопутствующих заболеваний, профилактика обострений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6 - 10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Санаторий "Ройка", дети до 10 лет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>3. Состояния после хирургических вмешательств по поводу туберкулеза любых локализаций, не ранее 2 - 3 мес. после операции (I группа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Продолжение основного курса лечения (в фазе продолжения), лечение сопутствующих заболеваний, профилактика обострений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6 - 10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Санаторий "Ройка", дети до 10 лет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 xml:space="preserve">4. Впервые выявленные дети с остаточными </w:t>
            </w:r>
            <w:proofErr w:type="spellStart"/>
            <w:r>
              <w:t>посттуберкулезными</w:t>
            </w:r>
            <w:proofErr w:type="spellEnd"/>
            <w:r>
              <w:t xml:space="preserve"> изменениями (III</w:t>
            </w:r>
            <w:proofErr w:type="gramStart"/>
            <w:r>
              <w:t xml:space="preserve"> А</w:t>
            </w:r>
            <w:proofErr w:type="gramEnd"/>
            <w:r>
              <w:t xml:space="preserve"> группа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 xml:space="preserve">Проведение </w:t>
            </w:r>
            <w:proofErr w:type="spellStart"/>
            <w:r>
              <w:t>противорецидивного</w:t>
            </w:r>
            <w:proofErr w:type="spellEnd"/>
            <w:r>
              <w:t xml:space="preserve"> курса лечения, лечение сопутствующих заболеваний, профилактика обострений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6 - 10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В соответствии с Порядком (</w:t>
            </w:r>
            <w:hyperlink w:anchor="P4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>5. Клиническое излечение туберкулеза любых локализаций (III</w:t>
            </w:r>
            <w:proofErr w:type="gramStart"/>
            <w:r>
              <w:t xml:space="preserve"> Б</w:t>
            </w:r>
            <w:proofErr w:type="gramEnd"/>
            <w:r>
              <w:t xml:space="preserve"> группа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 xml:space="preserve">Проведение </w:t>
            </w:r>
            <w:proofErr w:type="spellStart"/>
            <w:r>
              <w:t>противорецидивного</w:t>
            </w:r>
            <w:proofErr w:type="spellEnd"/>
            <w:r>
              <w:t xml:space="preserve"> курса лечения, лечение сопутствующих заболеваний, профилактика обострений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6 - 10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В соответствии с Порядком (</w:t>
            </w:r>
            <w:hyperlink w:anchor="P4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>6. Дети из контактов с больными активным туберкулезом (IV</w:t>
            </w:r>
            <w:proofErr w:type="gramStart"/>
            <w:r>
              <w:t xml:space="preserve"> А</w:t>
            </w:r>
            <w:proofErr w:type="gramEnd"/>
            <w:r>
              <w:t xml:space="preserve"> и Б группы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Проведение превентивного лечения противотуберкулезными препаратами, лечение сопутствующих заболеваний, изоляция из очагов, общеукрепляющие мероприятия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3 - 6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В соответствии с Порядком (</w:t>
            </w:r>
            <w:hyperlink w:anchor="P4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t xml:space="preserve">7. Группа повышенного риска заболевания туберкулезом: вираж туб. проб, инфицированные с нарастанием и </w:t>
            </w:r>
            <w:r>
              <w:lastRenderedPageBreak/>
              <w:t>гиперчувствительностью к туберкулину (VI</w:t>
            </w:r>
            <w:proofErr w:type="gramStart"/>
            <w:r>
              <w:t xml:space="preserve"> А</w:t>
            </w:r>
            <w:proofErr w:type="gramEnd"/>
            <w:r>
              <w:t>, Б, В группы ДУ)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lastRenderedPageBreak/>
              <w:t xml:space="preserve">Проведение превентивного лечения противотуберкулезными препаратами, лечение сопутствующих заболеваний, </w:t>
            </w:r>
            <w:r>
              <w:lastRenderedPageBreak/>
              <w:t>общеукрепляющие мероприятия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lastRenderedPageBreak/>
              <w:t>3 - 6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В соответствии с Порядком (</w:t>
            </w:r>
            <w:hyperlink w:anchor="P4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6D1B70">
        <w:tc>
          <w:tcPr>
            <w:tcW w:w="2835" w:type="dxa"/>
          </w:tcPr>
          <w:p w:rsidR="006D1B70" w:rsidRDefault="006D1B70">
            <w:pPr>
              <w:pStyle w:val="ConsPlusNormal"/>
              <w:jc w:val="center"/>
            </w:pPr>
            <w:r>
              <w:lastRenderedPageBreak/>
              <w:t>8. Группа повышенного риска заболевания туберкулезом, наблюдающиеся в ОЛС: инфицированные с хроническими неспецифическими заболеваниями различных органов и систем, из социально неблагополучных семей</w:t>
            </w:r>
          </w:p>
        </w:tc>
        <w:tc>
          <w:tcPr>
            <w:tcW w:w="3005" w:type="dxa"/>
          </w:tcPr>
          <w:p w:rsidR="006D1B70" w:rsidRDefault="006D1B70">
            <w:pPr>
              <w:pStyle w:val="ConsPlusNormal"/>
              <w:jc w:val="center"/>
            </w:pPr>
            <w:r>
              <w:t>Лечение сопутствующих заболеваний, общеукрепляющие мероприятия, социальная реабилитация</w:t>
            </w:r>
          </w:p>
        </w:tc>
        <w:tc>
          <w:tcPr>
            <w:tcW w:w="1587" w:type="dxa"/>
          </w:tcPr>
          <w:p w:rsidR="006D1B70" w:rsidRDefault="006D1B70">
            <w:pPr>
              <w:pStyle w:val="ConsPlusNormal"/>
              <w:jc w:val="center"/>
            </w:pPr>
            <w:r>
              <w:t>3 - 6 мес.</w:t>
            </w:r>
          </w:p>
        </w:tc>
        <w:tc>
          <w:tcPr>
            <w:tcW w:w="1644" w:type="dxa"/>
          </w:tcPr>
          <w:p w:rsidR="006D1B70" w:rsidRDefault="006D1B70">
            <w:pPr>
              <w:pStyle w:val="ConsPlusNormal"/>
              <w:jc w:val="center"/>
            </w:pPr>
            <w:r>
              <w:t>В соответствии с Порядком (</w:t>
            </w:r>
            <w:hyperlink w:anchor="P49" w:history="1">
              <w:r>
                <w:rPr>
                  <w:color w:val="0000FF"/>
                </w:rPr>
                <w:t>п. 5</w:t>
              </w:r>
            </w:hyperlink>
            <w:r>
              <w:t xml:space="preserve">, </w:t>
            </w:r>
            <w:hyperlink w:anchor="P5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</w:tbl>
    <w:p w:rsidR="006D1B70" w:rsidRDefault="006D1B70">
      <w:pPr>
        <w:pStyle w:val="ConsPlusNormal"/>
        <w:ind w:firstLine="540"/>
        <w:jc w:val="both"/>
      </w:pPr>
    </w:p>
    <w:p w:rsidR="006D1B70" w:rsidRDefault="006D1B70">
      <w:pPr>
        <w:pStyle w:val="ConsPlusNormal"/>
        <w:ind w:firstLine="540"/>
        <w:jc w:val="both"/>
      </w:pPr>
    </w:p>
    <w:sectPr w:rsidR="006D1B70" w:rsidSect="00C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70"/>
    <w:rsid w:val="00031130"/>
    <w:rsid w:val="006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EE68D167EEC3863D39070BF2DC1B8EF519EBF1FCC82F1811E0E8397855FBA3CD59FFBB092DFBBC8597D65zCz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EE68D167EEC3863D39070BF2DC1B8EF519EBF1FC889F18C100E8397855FBA3CzDz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E68D167EEC3863D38E7DA9419EBDE952C1B31DC880A6D54C08D4C8zDz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CEE68D167EEC3863D39070BF2DC1B8EF519EBF1FCC82F1811E0E8397855FBA3CD59FFBB092DFBBC8597D65zCz5H" TargetMode="External"/><Relationship Id="rId10" Type="http://schemas.openxmlformats.org/officeDocument/2006/relationships/hyperlink" Target="consultantplus://offline/ref=13CEE68D167EEC3863D39070BF2DC1B8EF519EBF1FCC82F1811E0E8397855FBA3CD59FFBB092DFBBC8597D65zC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EE68D167EEC3863D38F79BA419EBDEE52CBE4429C86F18A1C0E8188955FBA3ED297ADzF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2017-08-10T07:51:00Z</dcterms:created>
  <dcterms:modified xsi:type="dcterms:W3CDTF">2017-08-10T07:52:00Z</dcterms:modified>
</cp:coreProperties>
</file>